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2101-B</w:t>
        <w:t xml:space="preserve">.  </w:t>
      </w:r>
      <w:r>
        <w:rPr>
          <w:b/>
        </w:rPr>
        <w:t xml:space="preserve">Food recovery hierarchy</w:t>
      </w:r>
    </w:p>
    <w:p>
      <w:pPr>
        <w:jc w:val="both"/>
        <w:spacing w:before="100" w:after="100"/>
        <w:ind w:start="360"/>
        <w:ind w:firstLine="360"/>
      </w:pPr>
      <w:r>
        <w:rPr>
          <w:b/>
        </w:rPr>
        <w:t>1</w:t>
        <w:t xml:space="preserve">.  </w:t>
      </w:r>
      <w:r>
        <w:rPr>
          <w:b/>
        </w:rPr>
        <w:t xml:space="preserve">Priorities.</w:t>
        <w:t xml:space="preserve"> </w:t>
      </w:r>
      <w:r>
        <w:t xml:space="preserve"> </w:t>
      </w:r>
      <w:r>
        <w:t xml:space="preserve">It is the policy of the State to support the solid waste management hierarchy in </w:t>
      </w:r>
      <w:r>
        <w:t>section 2101</w:t>
      </w:r>
      <w:r>
        <w:t xml:space="preserve"> by preventing and diverting surplus food and food scraps from land disposal or incineration in accordance with the following order of priority:</w:t>
      </w:r>
    </w:p>
    <w:p>
      <w:pPr>
        <w:jc w:val="both"/>
        <w:spacing w:before="100" w:after="0"/>
        <w:ind w:start="720"/>
      </w:pPr>
      <w:r>
        <w:rPr/>
        <w:t>A</w:t>
        <w:t xml:space="preserve">.  </w:t>
      </w:r>
      <w:r>
        <w:rPr/>
      </w:r>
      <w:r>
        <w:t xml:space="preserve">Reduction of the volume of surplus food generated at the source;</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B</w:t>
        <w:t xml:space="preserve">.  </w:t>
      </w:r>
      <w:r>
        <w:rPr/>
      </w:r>
      <w:r>
        <w:t xml:space="preserve">Donation of surplus food to food banks, soup kitchens, shelters and other entities that will use surplus food to feed hungry people;</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C</w:t>
        <w:t xml:space="preserve">.  </w:t>
      </w:r>
      <w:r>
        <w:rPr/>
      </w:r>
      <w:r>
        <w:t xml:space="preserve">Diversion of food scraps for use as animal feed;</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D</w:t>
        <w:t xml:space="preserve">.  </w:t>
      </w:r>
      <w:r>
        <w:rPr/>
      </w:r>
      <w:r>
        <w:t xml:space="preserve">Utilization of waste oils for rendering and fuel conversion, utilization of food scraps for digestion to recover energy, other waste utilization technologies and creation of nutrient-rich soil amendments through the composting of food scraps; and</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E</w:t>
        <w:t xml:space="preserve">.  </w:t>
      </w:r>
      <w:r>
        <w:rPr/>
      </w:r>
      <w:r>
        <w:t xml:space="preserve">Land disposal or incineration of food scraps.</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w:t>
      </w:r>
    </w:p>
    <w:p>
      <w:pPr>
        <w:jc w:val="both"/>
        <w:spacing w:before="100" w:after="0"/>
        <w:ind w:start="360"/>
        <w:ind w:firstLine="360"/>
      </w:pPr>
      <w:r>
        <w:rPr>
          <w:b/>
        </w:rPr>
        <w:t>2</w:t>
        <w:t xml:space="preserve">.  </w:t>
      </w:r>
      <w:r>
        <w:rPr>
          <w:b/>
        </w:rPr>
        <w:t xml:space="preserve">Guiding principle.</w:t>
        <w:t xml:space="preserve"> </w:t>
      </w:r>
      <w:r>
        <w:t xml:space="preserve"> </w:t>
      </w:r>
      <w:r>
        <w:t xml:space="preserve">It is the policy of the State to use the order of priority in this section, in conjunction with the order of priority in </w:t>
      </w:r>
      <w:r>
        <w:t>section 2101</w:t>
      </w:r>
      <w:r>
        <w:t xml:space="preserve">, as a guiding principle in making decisions related to solid waste and organic materials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§2101-B. Food recovery hierarchy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§2101-B. Food recovery hierarchy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§2101-B. FOOD RECOVERY HIERARCHY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