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2161</w:t>
        <w:t xml:space="preserve">.  </w:t>
      </w:r>
      <w:r>
        <w:rPr>
          <w:b/>
        </w:rPr>
        <w:t xml:space="preserve">Condemnation proceedings</w:t>
      </w:r>
    </w:p>
    <w:p>
      <w:pPr>
        <w:jc w:val="both"/>
        <w:spacing w:before="100" w:after="100"/>
        <w:ind w:start="360"/>
        <w:ind w:firstLine="360"/>
      </w:pPr>
      <w:r>
        <w:rPr/>
      </w:r>
      <w:r>
        <w:rPr/>
      </w:r>
      <w:r>
        <w:t xml:space="preserve">At the time the bureau sends the notice in </w:t>
      </w:r>
      <w:r>
        <w:t>section 2160</w:t>
      </w:r>
      <w:r>
        <w:t xml:space="preserve">, the bureau shall file in the county commissioner's office in which the property to be taken is located and cause to be recorded in the registry of deeds in the county plans of the location of all lands, real estate, easements or interest therein, with an appropriate description and the names of the owners thereof, if known.  When for any reason the bureau fails to acquire property that it is authorized to take, which is described in that location, or if the location so recorded is defective and uncertain, it may, at any time, correct and perfect the location and file a new description.  In that case, the bureau is liable in damages only for property for which the owner had not previously been paid, to be assessed as of the time of the original taking, and the bureau is not liable for any acts that would have been justified if the original taking had been lawful.  No entry may be made on any private lands, except to make surveys, until the expiration of 10 days from the filing, whereupon, possession may be had of all the lands, real estate, easements or interests therein and other property and rights as aforesaid to be taken, but title may not vest in the bureau until payment for the property is made.</w:t>
      </w:r>
      <w:r>
        <w:t xml:space="preserve">  </w:t>
      </w:r>
      <w:r xmlns:wp="http://schemas.openxmlformats.org/drawingml/2010/wordprocessingDrawing" xmlns:w15="http://schemas.microsoft.com/office/word/2012/wordml">
        <w:rPr>
          <w:rFonts w:ascii="Arial" w:hAnsi="Arial" w:cs="Arial"/>
          <w:sz w:val="22"/>
          <w:szCs w:val="22"/>
        </w:rPr>
        <w:t xml:space="preserve">[PL 2011, c. 655, Pt. GG, §47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656, §A48 (AMD). PL 2011, c. 655, Pt. GG, §47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§2161. Condemnation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§2161. Condemnation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§2161. CONDEMNATION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