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2162</w:t>
        <w:t xml:space="preserve">.  </w:t>
      </w:r>
      <w:r>
        <w:rPr>
          <w:b/>
        </w:rPr>
        <w:t xml:space="preserve">Assistance in regional association siting</w:t>
      </w:r>
    </w:p>
    <w:p>
      <w:pPr>
        <w:jc w:val="both"/>
        <w:spacing w:before="100" w:after="0"/>
        <w:ind w:start="360"/>
        <w:ind w:firstLine="360"/>
      </w:pPr>
      <w:r>
        <w:rPr>
          <w:b/>
        </w:rPr>
        <w:t>1</w:t>
        <w:t xml:space="preserve">.  </w:t>
      </w:r>
      <w:r>
        <w:rPr>
          <w:b/>
        </w:rPr>
        <w:t xml:space="preserve">Technical assistance.</w:t>
        <w:t xml:space="preserve"> </w:t>
      </w:r>
      <w:r>
        <w:t xml:space="preserve"> </w:t>
      </w:r>
      <w:r>
        <w:t xml:space="preserve">Upon request by a regional association, the bureau may provide technical assistance to that regional association in the establishment of approved waste facilities, including assistance in planning, location, acquisition, development and operation of the site.  The regional association shall describe fully the need and justification for the request.  The bureau may request information from the regional association necessary to provide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§48 (AMD); PL 2011, c. 655, Pt. GG, §70 (AFF).]</w:t>
      </w:r>
    </w:p>
    <w:p>
      <w:pPr>
        <w:jc w:val="both"/>
        <w:spacing w:before="100" w:after="0"/>
        <w:ind w:start="360"/>
        <w:ind w:firstLine="360"/>
      </w:pPr>
      <w:r>
        <w:rPr>
          <w:b/>
        </w:rPr>
        <w:t>2</w:t>
        <w:t xml:space="preserve">.  </w:t>
      </w:r>
      <w:r>
        <w:rPr>
          <w:b/>
        </w:rPr>
        <w:t xml:space="preserve">Submission of report recommending construction of state-owned facility.</w:t>
        <w:t xml:space="preserve"> </w:t>
      </w:r>
      <w:r>
        <w:t xml:space="preserve"> </w:t>
      </w:r>
      <w:r>
        <w:t xml:space="preserve">When the bureau, in consultation with a regional association, finds that disposal capacity is projected to be needed for bulky wastes, construction or demolition waste or land-clearing debris and that the regional association is not able to pursue the siting, establishment and operation of a waste facility, the bureau may submit a report recommending the construction and operation of a state-owned solid waste disposal facility that will fulfill the disposal need to the joint standing committee of the Legislature having jurisdiction over natural resources matters.  The report must include a review of disposal options outside of the State; a review of existing efforts to reduce, reuse, recycle, compost and incinerate the affected waste streams and the impact of these efforts on capacity requirements; a thorough economic analysis of the facility's expected costs; and commitments from entities to utilize the facility and projected revenues.  The joint standing committee of the Legislature having jurisdiction over natural resources matters may report out legislation authorizing the construction and operation of a state-owned solid waste disposal facility in response to a report submitted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§48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1999, c. 736, §2 (RPR). PL 2011, c. 655, Pt. GG, §48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§2162. Assistance in regional association siting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§2162. Assistance in regional association siting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§2162. ASSISTANCE IN REGIONAL ASSOCIATION SITING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