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2175-B</w:t>
        <w:t xml:space="preserve">.  </w:t>
      </w:r>
      <w:r>
        <w:rPr>
          <w:b/>
        </w:rPr>
        <w:t xml:space="preserve">Payment in lieu of taxes</w:t>
      </w:r>
    </w:p>
    <w:p>
      <w:pPr>
        <w:jc w:val="both"/>
        <w:spacing w:before="100" w:after="100"/>
        <w:ind w:start="360"/>
        <w:ind w:firstLine="360"/>
      </w:pPr>
      <w:r>
        <w:rPr/>
      </w:r>
      <w:r>
        <w:rPr/>
      </w:r>
      <w:r>
        <w:t xml:space="preserve">The bureau shall annually pay a municipality an amount in lieu of taxes equal to the amount of property taxes on a solid waste disposal facility owned or operated by the bureau not paid to that municipality during the previous calendar year.  In the case of an unorganized territory, the bureau shall annually pay the amount to the State Tax Assessor who shall deposit that amount in the Unorganized Territory Education and Services Fund established in </w:t>
      </w:r>
      <w:r>
        <w:t>Title 36, chapter 115</w:t>
      </w:r>
      <w:r>
        <w:t xml:space="preserve">.  If the bureau disagrees with the amount determined to be due in lieu of taxes under this section, it may appeal to the State Board of Property Tax Review as provided in </w:t>
      </w:r>
      <w:r>
        <w:t>Title 36, section 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§57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§A70 (NEW). PL 1995, c. 465, §C2 (AFF). PL 2011, c. 655, Pt. GG, §57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§2175-B. Payment in lieu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§2175-B. Payment in lieu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§2175-B. PAYMENT IN LIEU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