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Purpose</w:t>
      </w:r>
    </w:p>
    <w:p>
      <w:pPr>
        <w:jc w:val="both"/>
        <w:spacing w:before="100" w:after="0"/>
        <w:ind w:start="360"/>
        <w:ind w:firstLine="360"/>
      </w:pPr>
      <w:r>
        <w:rPr>
          <w:b/>
        </w:rPr>
        <w:t>1</w:t>
        <w:t xml:space="preserve">.  </w:t>
      </w:r>
      <w:r>
        <w:rPr>
          <w:b/>
        </w:rPr>
        <w:t xml:space="preserve">Legislative findings.</w:t>
        <w:t xml:space="preserve"> </w:t>
      </w:r>
      <w:r>
        <w:t xml:space="preserve"> </w:t>
      </w:r>
      <w:r>
        <w:t xml:space="preserve">The Legislature finds that beverage containers are a major source of nondegradable litter and solid waste in this State and that the collection and disposal of this litter and solid waste constitute a great financial burden for the citizens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w:t>
        <w:t xml:space="preserve">.  </w:t>
      </w:r>
      <w:r>
        <w:rPr>
          <w:b/>
        </w:rPr>
        <w:t xml:space="preserve">Intent.</w:t>
        <w:t xml:space="preserve"> </w:t>
      </w:r>
      <w:r>
        <w:t xml:space="preserve"> </w:t>
      </w:r>
      <w:r>
        <w:t xml:space="preserve">It is the intent of the Legislature to create incentives for the manufacturers, distributors, dealers and consumers of beverage containers to reuse or recycle beverage containers thereby removing the blight on the landscape caused by the disposal of these containers on the highways and lands of the State and reducing the increasing costs of litter collection and municipal solid waste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