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411-B</w:t>
        <w:t xml:space="preserve">.  </w:t>
      </w:r>
      <w:r>
        <w:rPr>
          <w:b/>
        </w:rPr>
        <w:t xml:space="preserve">Planning</w:t>
      </w:r>
    </w:p>
    <w:p>
      <w:pPr>
        <w:jc w:val="both"/>
        <w:spacing w:before="100" w:after="100"/>
        <w:ind w:start="360"/>
        <w:ind w:firstLine="360"/>
      </w:pPr>
      <w:r>
        <w:rPr/>
      </w:r>
      <w:r>
        <w:rPr/>
      </w:r>
      <w:r>
        <w:t xml:space="preserve">The department is authorized to establish and conduct a continuous planning process in cooperation with federal, state, regional and municipal agencies consistent with the requirements of the Federal Water Pollution Control Act, 33 United States Code 1982, Section 1251, et seq., as amended.</w:t>
      </w:r>
      <w:r>
        <w:t xml:space="preserve">  </w:t>
      </w:r>
      <w:r xmlns:wp="http://schemas.openxmlformats.org/drawingml/2010/wordprocessingDrawing" xmlns:w15="http://schemas.microsoft.com/office/word/2012/wordml">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§411-B.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§411-B.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§411-B.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