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§423-B. WATERCRAFT SANITARY WASTE PUMP-OUT FACILITIES AT MARINAS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