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585-F</w:t>
        <w:t xml:space="preserve">.  </w:t>
      </w:r>
      <w:r>
        <w:rPr>
          <w:b/>
        </w:rPr>
        <w:t xml:space="preserve">Motor vehicle emissions labeling program</w:t>
      </w:r>
    </w:p>
    <w:p>
      <w:pPr>
        <w:jc w:val="both"/>
        <w:spacing w:before="100" w:after="100"/>
        <w:ind w:start="360"/>
        <w:ind w:firstLine="360"/>
      </w:pPr>
      <w:r>
        <w:rPr/>
      </w:r>
      <w:r>
        <w:rPr/>
      </w:r>
      <w:r>
        <w:t xml:space="preserve">The board may adopt rules to implement a motor vehicle emissions labeling program for all new vehicles sold within the State in order to educate the public about the types and amounts of motor vehicle emissions.  Rules adopted pursuant to this section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§585-F. Motor vehicle emissions labeling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§585-F. Motor vehicle emissions labeling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§585-F. MOTOR VEHICLE EMISSIONS LABELING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