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§585-K. GREENHOUSE GAS EMISSION STANDARDS;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