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589-A</w:t>
        <w:t xml:space="preserve">.  </w:t>
      </w:r>
      <w:r>
        <w:rPr>
          <w:b/>
        </w:rPr>
        <w:t xml:space="preserve">Notification of violation to affected municipality</w:t>
      </w:r>
    </w:p>
    <w:p>
      <w:pPr>
        <w:jc w:val="both"/>
        <w:spacing w:before="100" w:after="100"/>
        <w:ind w:start="360"/>
        <w:ind w:firstLine="360"/>
      </w:pPr>
      <w:r>
        <w:rPr/>
      </w:r>
      <w:r>
        <w:rPr/>
      </w:r>
      <w:r>
        <w:t xml:space="preserve">When the department issues a notice of violation for a violation of this chapter pursuant to </w:t>
      </w:r>
      <w:r>
        <w:t>section 347‑A</w:t>
      </w:r>
      <w:r>
        <w:t xml:space="preserve"> or receives an air quality-related notice of violation from the United States Environmental Protection Agency, the department shall provide notice of that violation to each municipality in which the violation occurred.  The department may provide the information required under this section electronically.</w:t>
      </w:r>
      <w:r>
        <w:t xml:space="preserve">  </w:t>
      </w:r>
      <w:r xmlns:wp="http://schemas.openxmlformats.org/drawingml/2010/wordprocessingDrawing" xmlns:w15="http://schemas.microsoft.com/office/word/2012/wordml">
        <w:rPr>
          <w:rFonts w:ascii="Arial" w:hAnsi="Arial" w:cs="Arial"/>
          <w:sz w:val="22"/>
          <w:szCs w:val="22"/>
        </w:rPr>
        <w:t xml:space="preserve">[PL 2019, c. 321,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§589-A. Notification of violation to affected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§589-A. NOTIFICATION OF VIOLATION TO AFFECTED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