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§307. PROCEDURE FOR FILING PETITIONS; NO RESPONSE REQUIRED;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