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Definition of employer's liability; rights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§901. DEFINITION OF EMPLOYER'S LIABILITY; RIGHTS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