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the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3 (AMD). PL 2007, c. 58, §3 (REV). PL 2007, c. 491,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Control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Control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51. CONTROL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