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Funding</w:t>
      </w:r>
    </w:p>
    <w:p>
      <w:pPr>
        <w:jc w:val="both"/>
        <w:spacing w:before="100" w:after="0"/>
        <w:ind w:start="360"/>
        <w:ind w:firstLine="360"/>
      </w:pPr>
      <w:r>
        <w:rPr>
          <w:b/>
        </w:rPr>
        <w:t>1</w:t>
        <w:t xml:space="preserve">.  </w:t>
      </w:r>
      <w:r>
        <w:rPr>
          <w:b/>
        </w:rPr>
        <w:t xml:space="preserve">No contributions.</w:t>
        <w:t xml:space="preserve"> </w:t>
      </w:r>
      <w:r>
        <w:t xml:space="preserve"> </w:t>
      </w:r>
      <w:r>
        <w:t xml:space="preserve">Benefits provided by this chapter are funded solely by the State. No contribution may be required of any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Appropriations.</w:t>
        <w:t xml:space="preserve"> </w:t>
      </w:r>
      <w:r>
        <w:t xml:space="preserve"> </w:t>
      </w:r>
      <w:r>
        <w:t xml:space="preserve">The Board of Trustees of the Maine Public Employees Retirement System shall forward to the Executive Department for inclusion in its budget request an estimate of the amount needed to be appropriated to the pre-1984 judicial retirement fund that will be sufficient, when combined with the amount in the fund, to provide the benefits payable out of the fund during the ensuing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