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Administrative Office of the Courts; appointment of State Court Administrator</w:t>
      </w:r>
    </w:p>
    <w:p>
      <w:pPr>
        <w:jc w:val="both"/>
        <w:spacing w:before="100" w:after="100"/>
        <w:ind w:start="360"/>
        <w:ind w:firstLine="360"/>
      </w:pPr>
      <w:r>
        <w:rPr/>
      </w:r>
      <w:r>
        <w:rPr/>
      </w:r>
      <w:r>
        <w:t xml:space="preserve">There is an Administrative Office of the Courts, directed by a State Court Administrator who is appointed by and serves at the pleasure of the Chief Justice of the Supreme Judicial Court.  The State Court Administrator shall devote full time to the official duties of this position to the exclusion of any profession for profit.  The State Court Administrator must have experience and skills in leadership, management, planning and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 Administrative Office of the Courts; appointment of State Court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Administrative Office of the Courts; appointment of State Court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 ADMINISTRATIVE OFFICE OF THE COURTS; APPOINTMENT OF STATE COURT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