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Family Division within the District Court established in </w:t>
      </w:r>
      <w:r>
        <w:t>section 183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2</w:t>
        <w:t xml:space="preserve">.  </w:t>
      </w:r>
      <w:r>
        <w:rPr>
          <w:b/>
        </w:rPr>
        <w:t xml:space="preserve">Guardian ad litem.</w:t>
        <w:t xml:space="preserve"> </w:t>
      </w:r>
      <w:r>
        <w:t xml:space="preserve"> </w:t>
      </w:r>
      <w:r>
        <w:t xml:space="preserve">"Guardian ad litem" means a person appointed as the court's agent to represent the best interests of one or more children pursuant to </w:t>
      </w:r>
      <w:r>
        <w:t>Title 18‑C, section 1‑111</w:t>
      </w:r>
      <w:r>
        <w:t xml:space="preserve">, </w:t>
      </w:r>
      <w:r>
        <w:t>Title 19‑A, section 1507</w:t>
      </w:r>
      <w:r>
        <w:t xml:space="preserve"> or </w:t>
      </w:r>
      <w:r>
        <w:t>Title 22, 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 (AMD); PL 2019, c. 417, Pt. B, §14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"Best interests of the child" means an outcome that serves or otherwise furthers the health, safety, well-being, education and growth of the child.  In applying the standard of best interests of the child in </w:t>
      </w:r>
      <w:r>
        <w:t>Title 18‑C</w:t>
      </w:r>
      <w:r>
        <w:t xml:space="preserve"> and </w:t>
      </w:r>
      <w:r>
        <w:t>Title 19‑A</w:t>
      </w:r>
      <w:r>
        <w:t xml:space="preserve"> cases, the relevant factors set forth in </w:t>
      </w:r>
      <w:r>
        <w:t>Title 19‑A, section 1653, subsection 3</w:t>
      </w:r>
      <w:r>
        <w:t xml:space="preserve">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§§8, 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