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1610-M</w:t>
        <w:t xml:space="preserve">.  </w:t>
      </w:r>
      <w:r>
        <w:rPr>
          <w:b/>
        </w:rPr>
        <w:t xml:space="preserve">Additional securities for state-owned facility repair, improvement and construction and hazardous waste cleanup on state-owned property</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$52,910,000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2021, c. 398, Pt. D, §1 (NEW).]</w:t>
      </w:r>
    </w:p>
    <w:p>
      <w:pPr>
        <w:jc w:val="both"/>
        <w:spacing w:before="100" w:after="100"/>
        <w:ind w:start="360"/>
      </w:pPr>
      <w:r>
        <w:rPr>
          <w:b w:val="true"/>
          <w:i/>
          <w:caps w:val="true"/>
        </w:rPr>
        <w:t xml:space="preserve">Revisor's Note: </w:t>
      </w:r>
      <w:r>
        <w:t>§1610-M.  Additional securities; career and technical education centers and regions (As enacted by PL 2021, c. 398, Pt. SSSS, §6 is REALLOCATED TO TITLE 4, SECTION 1610-N)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§1610-M. Additional securities for state-owned facility repair, improvement and construction and hazardous waste cleanup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§1610-M. Additional securities for state-owned facility repair, improvement and construction and hazardous waste cleanup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§1610-M. ADDITIONAL SECURITIES FOR STATE-OWNED FACILITY REPAIR, IMPROVEMENT AND CONSTRUCTION AND HAZARDOUS WASTE CLEANUP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