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Securities as legal investment</w:t>
      </w:r>
    </w:p>
    <w:p>
      <w:pPr>
        <w:jc w:val="both"/>
        <w:spacing w:before="100" w:after="100"/>
        <w:ind w:start="360"/>
        <w:ind w:firstLine="360"/>
      </w:pPr>
      <w:r>
        <w:rPr/>
      </w:r>
      <w:r>
        <w:rPr/>
      </w:r>
      <w:r>
        <w:t xml:space="preserve">The securities of the authority are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hereafter be authorized to invest in bonds or other obligations of the State, may properly and legally invest funds, including capital, in their control or belonging to them.  The securities are also, by this Act, made securities that may properly and legally be deposited with and received by all public officers and bodies of the State or any agency or political subdivision of the State and all municipalities and public corporations for any purpose for which the deposit of securities of bonds or other obligations of the State may be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466,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2007, c. 466,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§1614. Securities as legal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Securities as legal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§1614. SECURITIES AS LEGAL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