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Interpretation of provisions</w:t>
      </w:r>
    </w:p>
    <w:p>
      <w:pPr>
        <w:jc w:val="both"/>
        <w:spacing w:before="100" w:after="100"/>
        <w:ind w:start="360"/>
        <w:ind w:firstLine="360"/>
      </w:pPr>
      <w:r>
        <w:rPr/>
      </w:r>
      <w:r>
        <w:rPr/>
      </w:r>
      <w:r>
        <w:t>Sections 851</w:t>
      </w:r>
      <w:r>
        <w:t xml:space="preserve"> to </w:t>
      </w:r>
      <w:r>
        <w:t>856</w:t>
      </w:r>
      <w:r>
        <w:t xml:space="preserve"> do not annul or restrict any authority hitherto possessed or exercised by the courts over attorneys.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§857. Interpretation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Interpretation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§857. INTERPRETATION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