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310-A</w:t>
      </w:r>
    </w:p>
    <w:p>
      <w:pPr>
        <w:jc w:val="center"/>
        <w:ind w:start="360"/>
        <w:spacing w:before="300" w:after="300"/>
      </w:pPr>
      <w:r>
        <w:rPr>
          <w:b/>
        </w:rPr>
        <w:t xml:space="preserve">OFFICE OF AFFORDABLE HEALTH CARE</w:t>
      </w:r>
    </w:p>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310-A.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