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Listing of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An individual or a domestic or foreign entity may become listed as a commercial clerk or commercial registered agent by filing with the Secretary of State a commercial clerk or commercial registered agent listing statement signed by or on behalf of the person that states:</w:t>
      </w:r>
    </w:p>
    <w:p>
      <w:pPr>
        <w:jc w:val="both"/>
        <w:spacing w:before="100" w:after="0"/>
        <w:ind w:start="720"/>
      </w:pPr>
      <w:r>
        <w:rPr/>
        <w:t>A</w:t>
        <w:t xml:space="preserve">.  </w:t>
      </w:r>
      <w:r>
        <w:rPr/>
      </w:r>
      <w:r>
        <w:t xml:space="preserve">The name of the individual or the name, type and jurisdiction of organization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That the person is in the business of serving as a commercial clerk or commercial registered agent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The address of a place of business of the person in this State to which service of process and other notice and documents being served on or sent to entities represented by it may be delivered.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Additional information.</w:t>
        <w:t xml:space="preserve"> </w:t>
      </w:r>
      <w:r>
        <w:t xml:space="preserve"> </w:t>
      </w:r>
      <w:r>
        <w:t xml:space="preserve">A commercial clerk or commercial registered agent listing statement may include the information regarding acceptance of service of process in a record by the commercial clerk or commercial registered agent provided for in </w:t>
      </w:r>
      <w:r>
        <w:t>section 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Distinguishable name.</w:t>
        <w:t xml:space="preserve"> </w:t>
      </w:r>
      <w:r>
        <w:t xml:space="preserve"> </w:t>
      </w:r>
      <w:r>
        <w:t xml:space="preserve">If the name of a person filing a commercial clerk or commercial registered agent listing statement is not distinguishable on the records of the Secretary of State from the name of another commercial clerk or commercial registered agent listed under this section, the person must adopt a fictitious name that is distinguishable and use that name in its statement and when it does business in this State as a commercial clerk or commercial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Effective on filing.</w:t>
        <w:t xml:space="preserve"> </w:t>
      </w:r>
      <w:r>
        <w:t xml:space="preserve"> </w:t>
      </w:r>
      <w:r>
        <w:t xml:space="preserve">A commercial clerk or commercial registered agent listing statement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Filing noted in index; effect.</w:t>
        <w:t xml:space="preserve"> </w:t>
      </w:r>
      <w:r>
        <w:t xml:space="preserve"> </w:t>
      </w:r>
      <w:r>
        <w:t xml:space="preserve">The Secretary of State shall note the filing of the commercial clerk or commercial registered agent listing statement in the index of filings maintained by the Secretary of State for each entity represented by the clerk or registered agent at the time of the filing.  The statement has the effect of deleting the address of the clerk or the registered agent from the clerk or registered agent filing of each of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Listing of commercial clerk or commercial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Listing of commercial clerk or commercial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§106. LISTING OF COMMERCIAL CLERK OR COMMERCIAL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