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13120-L</w:t>
        <w:t xml:space="preserve">.  </w:t>
      </w:r>
      <w:r>
        <w:rPr>
          <w:b/>
        </w:rPr>
        <w:t xml:space="preserve">Rules</w:t>
      </w:r>
    </w:p>
    <w:p>
      <w:pPr>
        <w:jc w:val="both"/>
        <w:spacing w:before="100" w:after="100"/>
        <w:ind w:start="360"/>
        <w:ind w:firstLine="360"/>
      </w:pPr>
      <w:r>
        <w:rPr/>
      </w:r>
      <w:r>
        <w:rPr/>
      </w:r>
      <w:r>
        <w:t xml:space="preserve">Pursuant to </w:t>
      </w:r>
      <w:r>
        <w:t>chapter 375</w:t>
      </w:r>
      <w:r>
        <w:t xml:space="preserve">, the authority may adopt any rule, including its bylaws, necessary or useful for carrying out any of its powers or duties.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