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Cremation of old bonds</w:t>
      </w:r>
    </w:p>
    <w:p>
      <w:pPr>
        <w:jc w:val="both"/>
        <w:spacing w:before="100" w:after="100"/>
        <w:ind w:start="360"/>
        <w:ind w:firstLine="360"/>
      </w:pPr>
      <w:r>
        <w:rPr/>
      </w:r>
      <w:r>
        <w:rPr/>
      </w:r>
      <w:r>
        <w:t xml:space="preserve">The Treasurer of State, in the presence of the Commissioner of Administrative and Financial Services and the State Auditor, or such agents as they may designate, may cremate any state bonds and coupons, on the premises of the state bond and coupon paying agent, that have matured and have been paid after the paid certification has been received by the Treasurer of State and the State Auditor. This paid certification must bear the additional sworn certification of the auditor of the bank paying agent employed by the Treasurer of State. A cremation certificate, signed under oath by the state officers named in this section and the bank paying agent auditor identifying the bonds and coupons destroyed, must be filed in the office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780, Pt. Y,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202, §3 (AMD). PL 1971, c. 181, §8 (AMD). PL 1981, c. 100 (RPR). PL 1985, c. 785, §A19 (AMD). PL 1991, c. 780, §Y19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 Cremation of old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Cremation of old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§148. CREMATION OF OLD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