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Payment of attorneys' fees awards</w:t>
      </w:r>
    </w:p>
    <w:p>
      <w:pPr>
        <w:jc w:val="both"/>
        <w:spacing w:before="100" w:after="100"/>
        <w:ind w:start="360"/>
        <w:ind w:firstLine="360"/>
      </w:pPr>
      <w:r>
        <w:rPr/>
      </w:r>
      <w:r>
        <w:rPr/>
      </w:r>
      <w:r>
        <w:t xml:space="preserve">Notwithstanding </w:t>
      </w:r>
      <w:r>
        <w:t>section 1543</w:t>
      </w:r>
      <w:r>
        <w:t xml:space="preserve"> or any other statute, attorneys' fees awarded by a court against the State, its departments, agencies, officers or employees, and settlements of attorneys' fees without court award in these cases, may be paid from any funds available to the State. The Governor may identify by financial order the account, fund or other source from which payment of the attorneys' fees award or settlement shall be made.</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w:pPr>
        <w:jc w:val="both"/>
        <w:spacing w:before="100" w:after="100"/>
        <w:ind w:start="360"/>
        <w:ind w:firstLine="360"/>
      </w:pPr>
      <w:r>
        <w:rPr/>
      </w:r>
      <w:r>
        <w:rPr/>
      </w:r>
      <w:r>
        <w:t xml:space="preserve">All property, assets and interests of the State are exempt from any attachment or execution sought for the enforcement of an award of attorneys' fees.</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§1512. Payment of attorneys' fees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Payment of attorneys' fees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§1512. PAYMENT OF ATTORNEYS' FEES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