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 department or agency of the State Government, whenever the head determines it necessary by reason of changed conditions, may revise the work program of the head's department or agency at the beginning of any quarter during the fiscal year and submit the revised program to the Bureau of the Budget with a request for a revision of the allotments of the remaining quarters of that fiscal year. If, upon reexamination of the work program, the State Budget Officer, with the approval of the Governor, decides to grant the request for the revision of the allotments, the same procedure, so far as it relates to review, approval and control, must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[RR 2023,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RR 2023, c. 2, Pt. B,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Work program and allotments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 WORK PROGRAM AND ALLOTMENTS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