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17156</w:t>
        <w:t xml:space="preserve">.  </w:t>
      </w:r>
      <w:r>
        <w:rPr>
          <w:b/>
        </w:rPr>
        <w:t xml:space="preserve">Rate of interest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100"/>
        <w:ind w:start="360"/>
        <w:ind w:firstLine="360"/>
      </w:pPr>
      <w:r>
        <w:rPr/>
      </w:r>
      <w:r>
        <w:rPr/>
      </w:r>
      <w:r>
        <w:t xml:space="preserve">The board shall, from time to time, by order, set the rate of regular interest at a percent rate compounded periodically determined by the board to be equitable, both to members and to the taxpayers of the State, provided that the interest credited to a member with less than 10 years of creditable service on contributions related to compensation for service rendered as a part-time, seasonal or temporary employee after December 31, 1991 must at least equal the yield of a 10-year United States treasury bond on the last business day of the previous calendar year reduced by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1991, c. 619, §5 (AMD); PL 1991, c. 619,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 (AMD). PL 1991, c. 619, §5 (AMD). PL 1991, c. 619,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§17156. Rate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§17156. Rate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§17156. RATE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