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Payment of losses</w:t>
      </w:r>
    </w:p>
    <w:p>
      <w:pPr>
        <w:jc w:val="both"/>
        <w:spacing w:before="100" w:after="100"/>
        <w:ind w:start="360"/>
        <w:ind w:firstLine="360"/>
      </w:pPr>
      <w:r>
        <w:rPr/>
      </w:r>
      <w:r>
        <w:rPr/>
      </w:r>
      <w:r>
        <w:t xml:space="preserve">Pursuant to the recommendation of the State Controller, the Commissioner of Administrative and Financial Services may cause payments from the self-insurance fund or proceeds of insurance purchased in accordance with this chapter, or both, to be made available for repair or replacement of insured property and payment of losses and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§18 (AMD). PL 1989, c. 857, §23 (AMD). PL 1993, c. 470, §8 (AMD). PL 2017, c. 284, Pt. O,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§1736. Payment of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Payment of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§1736. PAYMENT OF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