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1743-B</w:t>
        <w:t xml:space="preserve">.  </w:t>
      </w:r>
      <w:r>
        <w:rPr>
          <w:b/>
        </w:rPr>
        <w:t xml:space="preserve">Design of buildings</w:t>
      </w:r>
    </w:p>
    <w:p>
      <w:pPr>
        <w:jc w:val="both"/>
        <w:spacing w:before="100" w:after="100"/>
        <w:ind w:start="360"/>
        <w:ind w:firstLine="360"/>
      </w:pPr>
      <w:r>
        <w:rPr/>
      </w:r>
      <w:r>
        <w:rPr/>
      </w:r>
      <w:r>
        <w:t xml:space="preserve">On projects for the design of buildings, the State and all political subdivisions thereof may select, without prejudice and on an equal basis, a prime professional who may be either an engineer or an architect. The professional so retained for a project shall perform only those services for which the professional is competent and shall utilize the services of other qualified professionals as required to provide a proper and complete professional service to the State or subdivision thereof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[RR 2023, c. 2,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§31 (NEW). RR 2023, c. 2,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§1743-B. DESIGN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