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Energy service companies and 3rd-party financing</w:t>
      </w:r>
    </w:p>
    <w:p>
      <w:pPr>
        <w:jc w:val="both"/>
        <w:spacing w:before="100" w:after="100"/>
        <w:ind w:start="360"/>
        <w:ind w:firstLine="360"/>
      </w:pPr>
      <w:r>
        <w:rPr/>
      </w:r>
      <w:r>
        <w:rPr/>
      </w:r>
      <w:r>
        <w:t xml:space="preserve">Any department or agency of the State, subject to approval of the Bureau of General Services, may enter into an agreement with a private party such as an energy service or 3rd-party financing company for the design, installation, operation, maintenance and financing of energy conservation improvements at state facilities.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All agreements made with private parties as contemplated in this section are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provisions of </w:t>
      </w:r>
      <w:r>
        <w:t>section 1587</w:t>
      </w:r>
      <w:r>
        <w:t xml:space="preserve"> do not apply to an agreement with a private  party as contemplated in this section, except in the event that the state department or agency chooses to exercise an option to purchase energy conservation improvements, the department or agency before or at the time of the exercise of the option shall submit the proposed purchase of the energy conservation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Bureau of General Services on behalf of any department or agency of the State is authorized to enter into agreements with private parties to study, plan, design, install, operate, maintain, finance and secure other services as may be necessary for the delivery of energy conservation projects at state facilities and projects to generate or cogenerate energy at state facilities for use on site and elsewhere.  Nothing in this section may be construed to compel the Bureau of General Services to enter into such agreements.  An agreement made subject to this section must be submitted to the Legislature for approval through the usual budget procedure if the agreement would require a new expenditure beyond existing appropriations or allocations.</w:t>
      </w:r>
      <w:r>
        <w:t xml:space="preserve">  </w:t>
      </w:r>
      <w:r xmlns:wp="http://schemas.openxmlformats.org/drawingml/2010/wordprocessingDrawing" xmlns:w15="http://schemas.microsoft.com/office/word/2012/wordml">
        <w:rPr>
          <w:rFonts w:ascii="Arial" w:hAnsi="Arial" w:cs="Arial"/>
          <w:sz w:val="22"/>
          <w:szCs w:val="22"/>
        </w:rPr>
        <w:t xml:space="preserve">[PL 2007, c. 539,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128 (NEW). PL 2007, c. 539,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§1767. Energy service companies and 3rd-party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Energy service companies and 3rd-party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§1767. ENERGY SERVICE COMPANIES AND 3RD-PARTY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