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referred to as "basic insurance," must be available to all eligible participants.</w:t>
      </w:r>
    </w:p>
    <w:p>
      <w:pPr>
        <w:jc w:val="both"/>
        <w:spacing w:before="100" w:after="0"/>
        <w:ind w:start="720"/>
      </w:pPr>
      <w:r>
        <w:rPr/>
        <w:t>A</w:t>
        <w:t xml:space="preserve">.  </w:t>
      </w:r>
      <w:r>
        <w:rPr/>
      </w:r>
      <w:r>
        <w:t xml:space="preserve">Except as provided in </w:t>
      </w:r>
      <w:r>
        <w:t>paragraph A‑1</w:t>
      </w:r>
      <w:r>
        <w:t xml:space="preserve">, 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w:pPr>
        <w:jc w:val="both"/>
        <w:spacing w:before="100" w:after="0"/>
        <w:ind w:start="720"/>
      </w:pPr>
      <w:r>
        <w:rPr/>
        <w:t>A-1</w:t>
        <w:t xml:space="preserve">.  </w:t>
      </w:r>
      <w:r>
        <w:rPr/>
      </w:r>
      <w:r>
        <w:t xml:space="preserve">For a Legislator, the amount of life insurance to be paid upon death is equal to the participant’s average annual legislative salary over the 2-year term of office rounded up to the next $1,000.  For the purposes of this section, "Legislator" includes the representatives of the Penobscot Nation and the Passamaquoddy Tribe at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213, Pt. LL, §2 (NEW).]</w:t>
      </w:r>
    </w:p>
    <w:p>
      <w:pPr>
        <w:jc w:val="both"/>
        <w:spacing w:before="100" w:after="0"/>
        <w:ind w:start="720"/>
      </w:pPr>
      <w:r>
        <w:rPr/>
        <w:t>B</w:t>
        <w:t xml:space="preserve">.  </w:t>
      </w:r>
      <w:r>
        <w:rPr/>
      </w:r>
      <w:r>
        <w:t xml:space="preserve">The accidental death and dismemberment insurance must provide payments as follows.</w:t>
      </w:r>
    </w:p>
    <w:p>
      <w:pPr>
        <w:jc w:val="both"/>
        <w:spacing w:before="100" w:after="0"/>
        <w:ind w:start="1080"/>
      </w:pPr>
      <w:r>
        <w:rPr/>
        <w:t>(</w:t>
        <w:t>1</w:t>
        <w:t xml:space="preserve">)  </w:t>
      </w:r>
      <w:r>
        <w:rPr/>
      </w:r>
      <w:r>
        <w:t xml:space="preserve">Losses and amounts payable are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216"/>
        <w:gridCol w:w="3542"/>
      </w:tblGrid>
      <w:tr>
        <w:trPr>
          <w:cantSplit/>
        </w:trPr>
        <w:tc>
          <w:tcPr>
            <w:tcW w:w="4507" w:type="dxa"/>
          </w:tcPr>
          <w:p>
            <w:pPr>
              <w:jc w:val="center"/>
            </w:pPr>
            <w:r>
              <w:t xml:space="preserve">LOSS</w:t>
            </w:r>
          </w:p>
        </w:tc>
        <w:tc>
          <w:tcPr>
            <w:tcW w:w="216" w:type="dxa"/>
          </w:tcPr>
          <w:p>
            <w:pPr>
              <w:jc w:val="both"/>
            </w:pPr>
          </w:p>
        </w:tc>
        <w:tc>
          <w:tcPr>
            <w:tcW w:w="3542" w:type="dxa"/>
          </w:tcPr>
          <w:p>
            <w:pPr>
              <w:jc w:val="center"/>
            </w:pPr>
            <w:r>
              <w:t xml:space="preserve">AMOUNT PAYABLE</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life by Accident</w:t>
            </w:r>
          </w:p>
        </w:tc>
        <w:tc>
          <w:tcPr>
            <w:tcW w:w="216" w:type="dxa"/>
          </w:tcPr>
          <w:p>
            <w:pPr>
              <w:jc w:val="both"/>
            </w:pPr>
          </w:p>
        </w:tc>
        <w:tc>
          <w:tcPr>
            <w:tcW w:w="3542" w:type="dxa"/>
          </w:tcPr>
          <w:p>
            <w:pPr>
              <w:jc w:val="left"/>
            </w:pPr>
            <w:r>
              <w:t xml:space="preserve">An additional amount equal to that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one hand or foot or sight of one eye</w:t>
            </w:r>
          </w:p>
        </w:tc>
        <w:tc>
          <w:tcPr>
            <w:tcW w:w="216" w:type="dxa"/>
          </w:tcPr>
          <w:p>
            <w:pPr>
              <w:jc w:val="both"/>
            </w:pPr>
          </w:p>
        </w:tc>
        <w:tc>
          <w:tcPr>
            <w:tcW w:w="3542" w:type="dxa"/>
          </w:tcPr>
          <w:p>
            <w:pPr>
              <w:jc w:val="left"/>
            </w:pPr>
            <w:r>
              <w:t xml:space="preserve">One-half the amount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2 or more limbs or loss of both eyes or loss of one limb and loss of sight of one eye</w:t>
            </w:r>
          </w:p>
        </w:tc>
        <w:tc>
          <w:tcPr>
            <w:tcW w:w="216" w:type="dxa"/>
          </w:tcPr>
          <w:p>
            <w:pPr>
              <w:jc w:val="both"/>
            </w:pPr>
          </w:p>
        </w:tc>
        <w:tc>
          <w:tcPr>
            <w:tcW w:w="3542" w:type="dxa"/>
          </w:tcPr>
          <w:p>
            <w:pPr>
              <w:jc w:val="left"/>
            </w:pPr>
            <w:r>
              <w:t xml:space="preserve">The amount provided under this subsection</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LL, §2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821"/>
        <w:gridCol w:w="936"/>
      </w:tblGrid>
      <w:tr>
        <w:trPr>
          <w:cantSplit/>
        </w:trPr>
        <w:tc>
          <w:tcPr>
            <w:tcW w:w="3629" w:type="dxa"/>
          </w:tcPr>
          <w:p>
            <w:pPr>
              <w:jc w:val="both"/>
            </w:pPr>
          </w:p>
        </w:tc>
        <w:tc>
          <w:tcPr>
            <w:tcW w:w="821"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Spouse</w:t>
            </w:r>
          </w:p>
        </w:tc>
        <w:tc>
          <w:tcPr>
            <w:tcW w:w="821"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821" w:type="dxa"/>
          </w:tcPr>
          <w:p>
            <w:pPr>
              <w:jc w:val="center"/>
            </w:pPr>
            <w:r>
              <w:t xml:space="preserve">$1,000</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§15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§12 (AMD). PL 1991, c. 480, §§3,4 (AMD). PL 1993, c. 387, §A15 (AMD). PL 1993, c. 387, Pt. A, §15 (AMD). PL 2009, c. 213, Pt. 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§18056.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§18056.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§18056.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