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18203-A</w:t>
        <w:t xml:space="preserve">.  </w:t>
      </w:r>
      <w:r>
        <w:rPr>
          <w:b/>
        </w:rPr>
        <w:t xml:space="preserve">Resumption of participation after withdrawal</w:t>
      </w:r>
    </w:p>
    <w:p>
      <w:pPr>
        <w:jc w:val="both"/>
        <w:spacing w:before="100" w:after="100"/>
        <w:ind w:start="360"/>
        <w:ind w:firstLine="360"/>
      </w:pPr>
      <w:r>
        <w:rPr/>
      </w:r>
      <w:r>
        <w:rPr/>
      </w:r>
      <w:r>
        <w:t xml:space="preserve">The board may establish by rule the conditions under which a local district that has withdrawn from participation in the Participating Local District Retirement Program may again contract for participation of its employees in that program under this chapter or under </w:t>
      </w:r>
      <w:r>
        <w:t>chapter 427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§11 (NEW). PL 2007, c. 491, §186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§18203-A. Resumption of participation after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§18203-A. Resumption of participation after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§18203-A. RESUMPTION OF PARTICIPATION AFTER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