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18204</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shall, in order to assist in the administration of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§187 (AMD).]</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about the employees of the participating local district the board prescribes;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with respect to the employees of the participating local district, that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§18204. Chief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§18204. Chief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§18204. CHIEF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