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§18255. DISBANDED OR DISSOLVED LOCAL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