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18305-C</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in fiscal year 2009-10 or 2010-11, or a combination thereof,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during fiscal year 2009-10 or 2010-11, or a combination thereof, as provided in </w:t>
      </w:r>
      <w:r>
        <w:t>section 17001, subsection 4, paragraph A</w:t>
      </w:r>
      <w:r>
        <w:t xml:space="preserve">, plus interest at the same rate as that required for repayment of withdrawn contributions pursuant to </w:t>
      </w:r>
      <w:r>
        <w:t>section 18304</w:t>
      </w:r>
      <w:r>
        <w:t xml:space="preserv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a member fails to make the election within 31 days of the notification provided under </w:t>
      </w:r>
      <w:r>
        <w:t>subsection 1</w:t>
      </w:r>
      <w:r>
        <w:t xml:space="preserve">, the retirement system shall calculate the member's retirement benefit without inclusion of compensation that would have been paid for days off without pay during fiscal year 2009-10 or 2010-11, or a combination thereof,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§18305-C. Back contributions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§18305-C. Back contributions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§18305-C. BACK CONTRIBUTIONS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