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A member may not be deprived of the member's right to any benefits under this section solely because the member later terminates employment with the participating local district before the member's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RR 2023, c. 2, Pt. B,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§18408. PAYMENT OF BENEFITS WHEN A DISTRICT DISBANDS OR DISSOLVES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