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194-K</w:t>
        <w:t xml:space="preserve">.  </w:t>
      </w:r>
      <w:r>
        <w:rPr>
          <w:b/>
        </w:rPr>
        <w:t xml:space="preserve">Penalties</w:t>
      </w:r>
    </w:p>
    <w:p>
      <w:pPr>
        <w:jc w:val="both"/>
        <w:spacing w:before="100" w:after="100"/>
        <w:ind w:start="360"/>
        <w:ind w:firstLine="360"/>
      </w:pPr>
      <w:r>
        <w:rPr>
          <w:b/>
        </w:rPr>
        <w:t>1</w:t>
        <w:t xml:space="preserve">.  </w:t>
      </w:r>
      <w:r>
        <w:rPr>
          <w:b/>
        </w:rPr>
        <w:t xml:space="preserve">Attorney General to bring action.</w:t>
        <w:t xml:space="preserve"> </w:t>
      </w:r>
      <w:r>
        <w:t xml:space="preserve"> </w:t>
      </w:r>
      <w:r>
        <w:t xml:space="preserve">The Attorney General may initiate an action in Superior Court to:</w:t>
      </w:r>
    </w:p>
    <w:p>
      <w:pPr>
        <w:jc w:val="both"/>
        <w:spacing w:before="100" w:after="0"/>
        <w:ind w:start="720"/>
      </w:pPr>
      <w:r>
        <w:rPr/>
        <w:t>A</w:t>
        <w:t xml:space="preserve">.  </w:t>
      </w:r>
      <w:r>
        <w:rPr/>
      </w:r>
      <w:r>
        <w:t xml:space="preserve">Void a conversion transaction pursuant to </w:t>
      </w:r>
      <w:r>
        <w:t>subsection 2</w:t>
      </w:r>
      <w:r>
        <w:t xml:space="preserve">.  Such an action may be brought in Superior Court in Kennebec County or in the county in which the assets of the public charity to be transferred are located;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Seek a civil penalty against an individual pursuant to </w:t>
      </w:r>
      <w:r>
        <w:t>subsection 3</w:t>
      </w:r>
      <w:r>
        <w:t xml:space="preserve">.  Such an action must be brought in the Superior Court of Kennebec County or in the county in which the individual resides; and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C</w:t>
        <w:t xml:space="preserve">.  </w:t>
      </w:r>
      <w:r>
        <w:rPr/>
      </w:r>
      <w:r>
        <w:t xml:space="preserve">Obtain on behalf of the public charity the return or repayment of any property or consideration received as private inurement or an excess benefit in violation of </w:t>
      </w:r>
      <w:r>
        <w:t>Title 13‑B</w:t>
      </w:r>
      <w:r>
        <w:t xml:space="preserve"> standards.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2</w:t>
        <w:t xml:space="preserve">.  </w:t>
      </w:r>
      <w:r>
        <w:rPr>
          <w:b/>
        </w:rPr>
        <w:t xml:space="preserve">Transaction voidable.</w:t>
        <w:t xml:space="preserve"> </w:t>
      </w:r>
      <w:r>
        <w:t xml:space="preserve"> </w:t>
      </w:r>
      <w:r>
        <w:t xml:space="preserve">The Superior Court may void a conversion transaction entered into in violation of applicable provisions of </w:t>
      </w:r>
      <w:r>
        <w:t>sections 194‑C</w:t>
      </w:r>
      <w:r>
        <w:t xml:space="preserve"> to </w:t>
      </w:r>
      <w:r>
        <w:t>194‑H</w:t>
      </w:r>
      <w:r>
        <w:t xml:space="preserve">.  If the court voids the transaction, it may also grant any orders necessary to restore the public charity to its former position, including removing the board of the public charity or voiding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100"/>
        <w:ind w:start="360"/>
        <w:ind w:firstLine="360"/>
      </w:pPr>
      <w:r>
        <w:rPr>
          <w:b/>
        </w:rPr>
        <w:t>3</w:t>
        <w:t xml:space="preserve">.  </w:t>
      </w:r>
      <w:r>
        <w:rPr>
          <w:b/>
        </w:rPr>
        <w:t xml:space="preserve">Penalties against individuals.</w:t>
        <w:t xml:space="preserve"> </w:t>
      </w:r>
      <w:r>
        <w:t xml:space="preserve"> </w:t>
      </w:r>
      <w:r>
        <w:t xml:space="preserve">An individual officer, director, trustee or manager in a position to exercise substantial influence over the affairs of a public charity is subject to a civil penalty if that person, in violation of the standards established under </w:t>
      </w:r>
      <w:r>
        <w:t>Title 13‑B</w:t>
      </w:r>
      <w:r>
        <w:t xml:space="preserve"> for conduct by directors or officers or for avoiding conflicts of interest:</w:t>
      </w:r>
    </w:p>
    <w:p>
      <w:pPr>
        <w:jc w:val="both"/>
        <w:spacing w:before="100" w:after="0"/>
        <w:ind w:start="720"/>
      </w:pPr>
      <w:r>
        <w:rPr/>
        <w:t>A</w:t>
        <w:t xml:space="preserve">.  </w:t>
      </w:r>
      <w:r>
        <w:rPr/>
      </w:r>
      <w:r>
        <w:t xml:space="preserve">Receives property or consideration from the public charity that constitutes private inurement; or</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Receives excess benefits that exceed the fair market value of anything provided in return.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360"/>
      </w:pPr>
      <w:r>
        <w:rPr/>
      </w:r>
      <w:r>
        <w:rPr/>
      </w:r>
      <w:r>
        <w:t xml:space="preserve">The civil penalty under this subsection may be an amount up to 100% of the excess benefit or private inurement received and may be recovered in addition to costs and fees incurred by the Attorney General in bringing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§194-K.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§194-K.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§194-K.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