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§20043. ACCEPTANCE FOR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