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20076-B</w:t>
        <w:t xml:space="preserve">.  </w:t>
      </w:r>
      <w:r>
        <w:rPr>
          <w:b/>
        </w:rPr>
        <w:t xml:space="preserve">Fees</w:t>
      </w:r>
    </w:p>
    <w:p>
      <w:pPr>
        <w:jc w:val="both"/>
        <w:spacing w:before="100" w:after="100"/>
        <w:ind w:start="360"/>
        <w:ind w:firstLine="360"/>
      </w:pPr>
      <w:r>
        <w:rPr/>
      </w:r>
      <w:r>
        <w:rPr/>
      </w:r>
      <w:r>
        <w:t xml:space="preserve">The department shall set fees in accordance with the cost of each program.  All fees must be transferred to the General Fund.  The department may waive all or part of any fee for a client who provides sufficient evidence of inability to pay.</w:t>
      </w:r>
      <w:r>
        <w:t xml:space="preserve">  </w:t>
      </w:r>
      <w:r xmlns:wp="http://schemas.openxmlformats.org/drawingml/2010/wordprocessingDrawing" xmlns:w15="http://schemas.microsoft.com/office/word/2012/wordml">
        <w:rPr>
          <w:rFonts w:ascii="Arial" w:hAnsi="Arial" w:cs="Arial"/>
          <w:sz w:val="22"/>
          <w:szCs w:val="22"/>
        </w:rPr>
        <w:t xml:space="preserve">[PL 2011, c. 657, Pt. AA,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§9 (NEW). PL 2011, c. 657, Pt. AA,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§20076-B.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