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3360-N</w:t>
        <w:t xml:space="preserve">.  </w:t>
      </w:r>
      <w:r>
        <w:rPr>
          <w:b/>
        </w:rPr>
        <w:t xml:space="preserve">Sexual Assault Forensic Examiner Advisory Board established; membership</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 Sexual Assault Forensic Examiner Advisory Board, referred to in this chapter as the "board," established under </w:t>
      </w:r>
      <w:r>
        <w:t>section 12004‑J, subsection 13</w:t>
      </w:r>
      <w:r>
        <w:t xml:space="preserve">, is established within the Department of Health and Human Services.  The board consists of 15 members appointed by the Commissioner of Health and Human Services.  Members must include the following:</w:t>
      </w:r>
    </w:p>
    <w:p>
      <w:pPr>
        <w:jc w:val="both"/>
        <w:spacing w:before="100" w:after="0"/>
        <w:ind w:start="720"/>
      </w:pPr>
      <w:r>
        <w:rPr/>
        <w:t>A</w:t>
        <w:t xml:space="preserve">.  </w:t>
      </w:r>
      <w:r>
        <w:rPr/>
      </w:r>
      <w:r>
        <w:t xml:space="preserve">One physician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B</w:t>
        <w:t xml:space="preserve">.  </w:t>
      </w:r>
      <w:r>
        <w:rPr/>
      </w:r>
      <w:r>
        <w:t xml:space="preserve">One member representing a school of nursing;</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C</w:t>
        <w:t xml:space="preserve">.  </w:t>
      </w:r>
      <w:r>
        <w:rPr/>
      </w:r>
      <w:r>
        <w:t xml:space="preserve">Two sexual assault nurse examiners;</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D</w:t>
        <w:t xml:space="preserve">.  </w:t>
      </w:r>
      <w:r>
        <w:rPr/>
      </w:r>
      <w:r>
        <w:t xml:space="preserve">One representative from a sexual assault support center;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E</w:t>
        <w:t xml:space="preserve">.  </w:t>
      </w:r>
      <w:r>
        <w:rPr/>
      </w:r>
      <w:r>
        <w:t xml:space="preserve">One member from a statewide coalition against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F</w:t>
        <w:t xml:space="preserve">.  </w:t>
      </w:r>
      <w:r>
        <w:rPr/>
      </w:r>
      <w:r>
        <w:t xml:space="preserve">One survivor of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G</w:t>
        <w:t xml:space="preserve">.  </w:t>
      </w:r>
      <w:r>
        <w:rPr/>
      </w:r>
      <w:r>
        <w:t xml:space="preserve">One attorney from the Department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2015, c. 267, Pt. GG, §2 (AMD).]</w:t>
      </w:r>
    </w:p>
    <w:p>
      <w:pPr>
        <w:jc w:val="both"/>
        <w:spacing w:before="100" w:after="0"/>
        <w:ind w:start="720"/>
      </w:pPr>
      <w:r>
        <w:rPr/>
        <w:t>H</w:t>
        <w:t xml:space="preserve">.  </w:t>
      </w:r>
      <w:r>
        <w:rPr/>
      </w:r>
      <w:r>
        <w:t xml:space="preserve">One employee of the Maine State Police Crime Laboratory;</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I</w:t>
        <w:t xml:space="preserve">.  </w:t>
      </w:r>
      <w:r>
        <w:rPr/>
      </w:r>
      <w:r>
        <w:t xml:space="preserve">One member from a statewide association of prosecutors;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J</w:t>
        <w:t xml:space="preserve">.  </w:t>
      </w:r>
      <w:r>
        <w:rPr/>
      </w:r>
      <w:r>
        <w:t xml:space="preserve">One member from a statewide association of hospitals;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K</w:t>
        <w:t xml:space="preserve">.  </w:t>
      </w:r>
      <w:r>
        <w:rPr/>
      </w:r>
      <w:r>
        <w:t xml:space="preserve">One member who is a forensic pediatric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K-1</w:t>
        <w:t xml:space="preserve">.  </w:t>
      </w:r>
      <w:r>
        <w:rPr/>
      </w:r>
      <w:r>
        <w:t xml:space="preserve">One representative of law enforcement; and</w:t>
      </w:r>
      <w:r>
        <w:t xml:space="preserve">  </w:t>
      </w:r>
      <w:r xmlns:wp="http://schemas.openxmlformats.org/drawingml/2010/wordprocessingDrawing" xmlns:w15="http://schemas.microsoft.com/office/word/2012/wordml">
        <w:rPr>
          <w:rFonts w:ascii="Arial" w:hAnsi="Arial" w:cs="Arial"/>
          <w:sz w:val="22"/>
          <w:szCs w:val="22"/>
        </w:rPr>
        <w:t xml:space="preserve">[PL 2021, c. 118, §1 (NEW).]</w:t>
      </w:r>
    </w:p>
    <w:p>
      <w:pPr>
        <w:jc w:val="both"/>
        <w:spacing w:before="100" w:after="0"/>
        <w:ind w:start="720"/>
      </w:pPr>
      <w:r>
        <w:rPr/>
        <w:t>L</w:t>
        <w:t xml:space="preserve">.  </w:t>
      </w:r>
      <w:r>
        <w:rPr/>
      </w:r>
      <w:r>
        <w:t xml:space="preserve">Two public members.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118,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of the board is 3 years.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3</w:t>
        <w:t xml:space="preserve">.  </w:t>
      </w:r>
      <w:r>
        <w:rPr>
          <w:b/>
        </w:rPr>
        <w:t xml:space="preserve">Chair.</w:t>
        <w:t xml:space="preserve"> </w:t>
      </w:r>
      <w:r>
        <w:t xml:space="preserve"> </w:t>
      </w:r>
      <w:r>
        <w:t xml:space="preserve">The Commissioner of Health and Human Services shall appoint a member to act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w:pPr>
        <w:jc w:val="both"/>
        <w:spacing w:before="100" w:after="0"/>
        <w:ind w:start="360"/>
        <w:ind w:firstLine="360"/>
      </w:pPr>
      <w:r>
        <w:rPr>
          <w:b/>
        </w:rPr>
        <w:t>5</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§2 (AMD). PL 2021,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§3360-N. Sexual Assault Forensic Examiner Advisory Board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§3360-N. Sexual Assault Forensic Examiner Advisory Board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§3360-N. SEXUAL ASSAULT FORENSIC EXAMINER ADVISORY BOARD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