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4594-H</w:t>
        <w:t xml:space="preserve">.  </w:t>
      </w:r>
      <w:r>
        <w:rPr>
          <w:b/>
        </w:rPr>
        <w:t xml:space="preserve">Marking of parking space access aisles</w:t>
      </w:r>
    </w:p>
    <w:p>
      <w:pPr>
        <w:jc w:val="both"/>
        <w:spacing w:before="100" w:after="100"/>
        <w:ind w:start="360"/>
        <w:ind w:firstLine="360"/>
      </w:pPr>
      <w:r>
        <w:rPr/>
      </w:r>
      <w:r>
        <w:rPr/>
      </w:r>
      <w:r>
        <w:t xml:space="preserve">Notwithstanding any provision of this subchapter to the contrary, a state department, state agency or quasi-independent state entity shall ensure that parking areas serving state-owned or state-leased buildings housing that state department, state agency or quasi-independent state entity meet the federal standards related to the marking of parking space access aisles under the 2010 ADA Standards for Accessible Design, 28 Code of Federal Regulations, Sections 35.104 and 35.151.  For the purposes of this section, "quasi-independent state entity" has the same meaning as in </w:t>
      </w:r>
      <w:r>
        <w:t>section 12021,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§4594-H. Marking of parking space access aisles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§4594-H. Marking of parking space access aisles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§4594-H. MARKING OF PARKING SPACE ACCESS AISLES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