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§5302. DENIAL, SUSPENSION, REVOCATION OR OTHER DISCIPLINE OF LICENSEES BECAUSE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