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§6202. LAND FOR MAINE'S FUTURE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