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7039</w:t>
        <w:t xml:space="preserve">.  </w:t>
      </w:r>
      <w:r>
        <w:rPr>
          <w:b/>
        </w:rPr>
        <w:t xml:space="preserve">Civil Service Law</w:t>
      </w:r>
    </w:p>
    <w:p>
      <w:pPr>
        <w:jc w:val="both"/>
        <w:spacing w:before="100" w:after="100"/>
        <w:ind w:start="360"/>
        <w:ind w:firstLine="360"/>
      </w:pPr>
      <w:r>
        <w:rPr/>
      </w:r>
      <w:r>
        <w:rPr/>
      </w:r>
      <w:r>
        <w:t xml:space="preserve">The Civil Service Law consists of </w:t>
      </w:r>
      <w:r>
        <w:t>chapters 65</w:t>
      </w:r>
      <w:r>
        <w:t xml:space="preserve">, </w:t>
      </w:r>
      <w:r>
        <w:t>67</w:t>
      </w:r>
      <w:r>
        <w:t xml:space="preserve">, </w:t>
      </w:r>
      <w:r>
        <w:t>68</w:t>
      </w:r>
      <w:r>
        <w:t xml:space="preserve">, </w:t>
      </w:r>
      <w:r>
        <w:t>69</w:t>
      </w:r>
      <w:r>
        <w:t xml:space="preserve">, </w:t>
      </w:r>
      <w:r>
        <w:t>71</w:t>
      </w:r>
      <w:r>
        <w:t xml:space="preserve"> and this chapter.  Whenever reference is made in statute or rule to the Civil Service Law, the chapters delineated in this section apply.</w:t>
      </w:r>
      <w:r>
        <w:t xml:space="preserve">  </w:t>
      </w:r>
      <w:r xmlns:wp="http://schemas.openxmlformats.org/drawingml/2010/wordprocessingDrawing" xmlns:w15="http://schemas.microsoft.com/office/word/2012/wordml">
        <w:rPr>
          <w:rFonts w:ascii="Arial" w:hAnsi="Arial" w:cs="Arial"/>
          <w:sz w:val="22"/>
          <w:szCs w:val="22"/>
        </w:rPr>
        <w:t xml:space="preserve">[RR 2001, c. 2, Pt. A,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§§B8,B9 (AMD). RR 1999, c. 2, §3 (COR). RR 2001, c. 2, §A9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§7039. Civil Service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§7039. Civil Service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§7039. CIVIL SERVICE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