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must be reviewed periodically by the state department involved, and the provision of any such housing facilities must be terminated whenever the above stated criteria are met. Except as otherwise provided, in each instance of the provision of housing facilities by the State, a rental charge must be made to cover the total operating cost of any such facility. These costs must include, but not be limited to, rates charged to the State, in operating such facility, for water, electricity, heat, telephone and furnishings and any other maintenance costs. Such costs may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 facility used on a seasonal basis must be partially exempt from rental charges, at the discretion of the department. A charge may not be made for the provision of housing facilities when the state employee involved is required as a condition of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[RR 2023,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RR 2023, c. 2,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§8-B.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