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8062</w:t>
        <w:t xml:space="preserve">.  </w:t>
      </w:r>
      <w:r>
        <w:rPr>
          <w:b/>
        </w:rPr>
        <w:t xml:space="preserve">Performance standards</w:t>
      </w:r>
    </w:p>
    <w:p>
      <w:pPr>
        <w:jc w:val="both"/>
        <w:spacing w:before="100" w:after="100"/>
        <w:ind w:start="360"/>
        <w:ind w:firstLine="360"/>
      </w:pPr>
      <w:r>
        <w:rPr/>
      </w:r>
      <w:r>
        <w:rPr/>
      </w:r>
      <w:r>
        <w:t xml:space="preserve">When legislation authorizing any regulated activity requires that certain criteria be met in order that any license, permit, authorization or certification to undertake the regulated activity be granted and when an agency determines that performance standards will assist regulated parties in complying with the criteria, the standards shall be developed during the rule-making process and incorporated into adopted rules when performance standards are equally effective in meeting applicable statutory criteria.</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§8062.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§8062.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§8062.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