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90-D</w:t>
        <w:t xml:space="preserve">.  </w:t>
      </w:r>
      <w:r>
        <w:rPr>
          <w:b/>
        </w:rPr>
        <w:t xml:space="preserve">Public Comment Publication Fund</w:t>
      </w:r>
    </w:p>
    <w:p>
      <w:pPr>
        <w:jc w:val="both"/>
        <w:spacing w:before="100" w:after="100"/>
        <w:ind w:start="360"/>
        <w:ind w:firstLine="360"/>
      </w:pPr>
      <w:r>
        <w:rPr/>
      </w:r>
      <w:r>
        <w:rPr/>
      </w:r>
      <w:r>
        <w:t xml:space="preserve">The Public Comment Publication Fund, referred to in this section as "the fund," is established as a nonlapsing fund within the Department of the Secretary of State.  The fund consists of fees for public comment on constitutional resolutions and statewide referenda received by the Secretary of State pursuant to </w:t>
      </w:r>
      <w:r>
        <w:t>Title 1, section 354</w:t>
      </w:r>
      <w:r>
        <w:t xml:space="preserve">.  The money in the fund must be used for the purpose of publishing the informational pamphlet that includes the public comment, explanatory statement and fiscal estimate pursuant to </w:t>
      </w:r>
      <w:r>
        <w:t>Title 1, section 354</w:t>
      </w:r>
      <w:r>
        <w:t xml:space="preserve">.  The unobligated and unencumbered balance of the fund in excess of $5,000 as of December 1st of each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§90-D. Public Comment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§90-D. Public Comment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§90-D. PUBLIC COMMENT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