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Short title</w:t>
      </w:r>
    </w:p>
    <w:p>
      <w:pPr>
        <w:jc w:val="both"/>
        <w:spacing w:before="100" w:after="100"/>
        <w:ind w:start="360"/>
        <w:ind w:firstLine="360"/>
      </w:pPr>
      <w:r>
        <w:rPr/>
      </w:r>
      <w:r>
        <w:rPr/>
      </w:r>
      <w:r>
        <w:t xml:space="preserve">This chapter shall be known and may be cited as the "Archives and Records Management Law."</w:t>
      </w:r>
      <w:r>
        <w:t xml:space="preserve">  </w:t>
      </w:r>
      <w:r xmlns:wp="http://schemas.openxmlformats.org/drawingml/2010/wordprocessingDrawing" xmlns:w15="http://schemas.microsoft.com/office/word/2012/wordml">
        <w:rPr>
          <w:rFonts w:ascii="Arial" w:hAnsi="Arial" w:cs="Arial"/>
          <w:sz w:val="22"/>
          <w:szCs w:val="22"/>
        </w:rPr>
        <w:t xml:space="preserve">[PL 1973, c. 625,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