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persons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§45 (COR).]</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§45 (COR).]</w:t>
      </w:r>
    </w:p>
    <w:p>
      <w:pPr>
        <w:jc w:val="both"/>
        <w:spacing w:before="100" w:after="100"/>
        <w:ind w:start="360"/>
        <w:ind w:firstLine="360"/>
      </w:pPr>
      <w:r>
        <w:rPr>
          <w:b/>
        </w:rPr>
        <w:t>2</w:t>
        <w:t xml:space="preserve">.  </w:t>
      </w:r>
      <w:r>
        <w:rPr>
          <w:b/>
        </w:rPr>
        <w:t xml:space="preserve">Employees appointed to major policy-influencing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the appointing authority's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 person permanently appointed to a classified position who accepts an appointment to a major policy-influencing position has the right, for 12 months subsequent to appointment to the major policy-influencing position, to be restored to the classified position from which the person was promoted or to a position equivalent to that position in salary grade in any agency without impairment of the person's personnel status or the loss of seniority, retirement or other rights to which uninterrupted service in the classified position would entitle the person.</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D</w:t>
        <w:t xml:space="preserve">.  </w:t>
      </w:r>
      <w:r>
        <w:rPr/>
      </w:r>
      <w:r>
        <w:t xml:space="preserve">If a person's service in a major policy-influencing position is terminated for cause, the person's right to be restored to a position pursuant to paragraph C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E</w:t>
        <w:t xml:space="preserve">.  </w:t>
      </w:r>
      <w:r>
        <w:rPr/>
      </w:r>
      <w:r>
        <w:t xml:space="preserve">During the 12-month period defined in paragraph C, the appointing authority may temporarily appoint a person to the position under the Civil Service Law, if funds are available for the appointment and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RR 2023, c. 2, Pt. B, §§45,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