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Small community air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§19. SMALL COMMUNITY AIR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