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2005, c. 457, §GGG2 (AMD). PL 2011, c. 610, Pt. A, §1 (RP). PL 2011, c. 649,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§54.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